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09" w:rsidRDefault="00210E09" w:rsidP="001F2372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210E09" w:rsidRDefault="00210E09" w:rsidP="001F2372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25E1A" w:rsidRPr="001F2372" w:rsidRDefault="00820746" w:rsidP="001F2372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F2372">
        <w:rPr>
          <w:rFonts w:ascii="Century Gothic" w:hAnsi="Century Gothic" w:cs="Arial"/>
          <w:b/>
          <w:sz w:val="24"/>
          <w:szCs w:val="24"/>
        </w:rPr>
        <w:t>TEXTO APROBADO EN LA COMISIÓN PRIMERA DE LA HONORABLE CÁMARA DE REPRESENTANTES EN PRIMER DEBATE DEL</w:t>
      </w:r>
    </w:p>
    <w:p w:rsidR="001F2372" w:rsidRPr="001F2372" w:rsidRDefault="00820746" w:rsidP="001F23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  <w:r w:rsidRPr="001F2372">
        <w:rPr>
          <w:rFonts w:ascii="Century Gothic" w:hAnsi="Century Gothic" w:cs="Arial"/>
          <w:b/>
          <w:sz w:val="24"/>
          <w:szCs w:val="24"/>
          <w:lang w:bidi="es-CO"/>
        </w:rPr>
        <w:t>PROYECTO DE LEY No.</w:t>
      </w:r>
      <w:r w:rsidR="001066C3" w:rsidRPr="001F2372">
        <w:rPr>
          <w:rFonts w:ascii="Century Gothic" w:hAnsi="Century Gothic" w:cs="Arial"/>
          <w:b/>
          <w:sz w:val="24"/>
          <w:szCs w:val="24"/>
          <w:lang w:bidi="es-CO"/>
        </w:rPr>
        <w:t xml:space="preserve"> </w:t>
      </w:r>
      <w:r w:rsidR="001F2372"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018 DE 2024 CÁMARA ACU</w:t>
      </w:r>
      <w:r w:rsid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MULADO CON EL PROYECTO DE LEY No</w:t>
      </w:r>
      <w:r w:rsidR="001F2372"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. 239 DE 2024 CÁMARA</w:t>
      </w:r>
    </w:p>
    <w:p w:rsidR="001F2372" w:rsidRPr="001F2372" w:rsidRDefault="001F2372" w:rsidP="001F23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“POR MEDIO DE LA CUAL SE DICTAN MEDIDAS PARA PREVENIR, ATENDER Y ERRADICAR LA ABLACIÓN O MUTILACIÓN GENITAL FEMENINA EN TODO EL TERRITORIO NACIONAL Y SE DICTAN OTRAS DISPOSICIONES”</w:t>
      </w:r>
    </w:p>
    <w:p w:rsidR="001F2372" w:rsidRPr="001F2372" w:rsidRDefault="001F2372" w:rsidP="001F23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311769" w:rsidRDefault="00311769" w:rsidP="001F23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EL CONGRESO DE LA REPÚBLICA DE COLOMBIA</w:t>
      </w:r>
    </w:p>
    <w:p w:rsidR="001F2372" w:rsidRPr="001F2372" w:rsidRDefault="001F2372" w:rsidP="001F23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DECRETA:</w:t>
      </w:r>
    </w:p>
    <w:p w:rsidR="001F2372" w:rsidRPr="001F2372" w:rsidRDefault="001F2372" w:rsidP="001F2372">
      <w:pPr>
        <w:pBdr>
          <w:top w:val="nil"/>
          <w:left w:val="nil"/>
          <w:bottom w:val="nil"/>
          <w:right w:val="nil"/>
          <w:between w:val="nil"/>
        </w:pBdr>
        <w:spacing w:after="0"/>
        <w:ind w:right="115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widowControl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highlight w:val="white"/>
          <w:lang w:eastAsia="es-CO"/>
        </w:rPr>
        <w:t>Artículo 1. Objeto.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 La presente Ley tiene por objeto dictar medidas para la prevención, atención y erradicación de la ablación o mutilación genital femenina en todo el territori</w:t>
      </w:r>
      <w:r w:rsidR="00311769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o nacional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, con el fin de garantizar la protección de los derechos humanos de las niñas</w:t>
      </w:r>
      <w:r w:rsidR="00311769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, adolescentes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 y mujeres en Colombia con especial protección de los derechos de las niñas</w:t>
      </w:r>
      <w:r w:rsidR="00311769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, adolescentes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 y mujeres indígenas de la Gran Nación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Emberá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 desde un abordaje integral,</w:t>
      </w:r>
      <w:r w:rsidR="00311769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 diferencial,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interseccional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, intercultural y comunitario.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</w:t>
      </w:r>
    </w:p>
    <w:p w:rsidR="001F2372" w:rsidRPr="001F2372" w:rsidRDefault="001F2372" w:rsidP="001F2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 xml:space="preserve">Artículo 2. Definición.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Para los efectos de la presente ley, se entiende por ablación o mutilación genital femenina como </w:t>
      </w:r>
      <w:r w:rsidR="00311769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el conjunto de prácticas nocivas que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consiste</w:t>
      </w:r>
      <w:r w:rsidR="00311769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n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en extirpar de forma parcial o total los órganos genitales femeninos externos, así como otras lesiones causadas a los órganos genitales femeninos sin justificación médica.</w:t>
      </w:r>
    </w:p>
    <w:p w:rsidR="001F2372" w:rsidRPr="001F2372" w:rsidRDefault="001F2372" w:rsidP="001F2372">
      <w:pPr>
        <w:spacing w:before="240" w:after="0" w:line="276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Parágrafo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. La ablación o mutilación genital femenina también es una práctica nociva, generadora de violencias contra las mujeres, que puede traer diferentes consecuencias como daños físicos, espirituales, psicológicos y sociales en la vida de las niñas y mujeres.</w:t>
      </w:r>
      <w:r w:rsidR="009F327E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Así mismo, representan un obstáculo para la igualdad de género, al construir una forma directa de discriminación y una vulneración del derecho de las mujeres y niñas a vivir una vida libre de violencia.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Artículo 3. Política pública para la prevención, atención y erradicación de la ablación o mutilación genital femenina.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Se autoriza al Gobierno Nacional en cabeza del Ministerio del Interior y el Grupo de Género y Diversidad o quien haga sus veces y a la Dirección de Asuntos Indígenas, ROM y Minorías o quien haga sus veces y en articulación con el Departamento Nacional de Planeación, el Instituto Colombiano de Bienestar Familiar (ICBF), </w:t>
      </w:r>
      <w:r w:rsidR="00762CE9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la Defensoría del Pueblo,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el Ministerio de Salud y Protección Social,  Ministerio de Justicia, el Ministerio de la Igualdad o quien haga sus veces, y las demás instituciones u organizaciones competentes para que dentro de los doce (12) meses siguientes a la entrada en vigencia de la presente ley, diseñe e implemente la Política Pública Nacional para la prevención, atención y erradicación de la ablación o  mutilación genital femenina en Colombia.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La Política Pública deberá garantizar lo siguiente: 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El diseño e implementación de estrategias interculturales de concientización, acerca de las consecuencias de la ablación o mutilación genital femenina. 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Espacios de formación que comprendan los saberes ancestrales por medio de la sensibilización intercultural, con mujeres, hombres, niñas, niños y adolescentes, líderes, autoridades indígenas y comunidades, sobre la prevención y atención de violencias sexuales y reproductivas y prácticas nocivas, enfocado en el </w:t>
      </w:r>
      <w:r w:rsidR="00762CE9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reconocimiento y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cuidado del cuerpo de las niñas, adolescentes y mujeres.</w:t>
      </w:r>
    </w:p>
    <w:p w:rsidR="001F2372" w:rsidRPr="001F2372" w:rsidRDefault="001F2372" w:rsidP="001F2372">
      <w:pPr>
        <w:spacing w:after="0" w:line="240" w:lineRule="auto"/>
        <w:ind w:left="72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Crear el Comité Nacional para la Erradicación de la Mutilación Genital Femenina, el cual deberá contar con la participación de: Ministerio del Interior, Ministerio de Salud, representantes de instancias de autoridades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índigenas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, representantes de mujeres de la Gran Nación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Embera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, Instituto Colombiano de Bienestar Familiar, representante de EPS que tenga afiliados o población indígena en territorio donde se realice la práctica, representante de ente territorial que cuente con población indígena donde se realice la práctica.     </w:t>
      </w:r>
    </w:p>
    <w:p w:rsidR="001F2372" w:rsidRPr="001F2372" w:rsidRDefault="001F2372" w:rsidP="001F2372">
      <w:pPr>
        <w:spacing w:after="0" w:line="240" w:lineRule="auto"/>
        <w:ind w:left="720"/>
        <w:jc w:val="both"/>
        <w:rPr>
          <w:rFonts w:ascii="Century Gothic" w:eastAsia="Calibri" w:hAnsi="Century Gothic" w:cs="Calibri"/>
          <w:color w:val="000000"/>
          <w:sz w:val="24"/>
          <w:szCs w:val="24"/>
          <w:highlight w:val="yellow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Plan institucional para la prevención de la ablación o mutilación genital femenina, estrategias de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cambio de prácticas nocivas para la vida y la salud en el ejercicio de los derechos sexuales y reproductivos, así como acciones individuales y colectivas encaminadas a la identificación temprana de las niñas, las adolescentes y mujeres en riesgo de la realización de la práctica. </w:t>
      </w:r>
    </w:p>
    <w:p w:rsidR="001F2372" w:rsidRPr="001F2372" w:rsidRDefault="001F2372" w:rsidP="001F2372">
      <w:pPr>
        <w:spacing w:after="0" w:line="240" w:lineRule="auto"/>
        <w:ind w:left="72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Mecanismos conjuntos con las autoridades indígenas y las mujeres de la Gran Nación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Emberá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, de coordinación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interjurisdiccional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conforme a las órdenes constitucionales, para la construcción, transformación, y/o modificación de normas internas de las comunidades indígenas, que propendan por la prevención y erradicación de las prácticas nocivas a la salud y la vida de las niñas, adolescentes y mujeres.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El diseño, socialización e implementación de una ruta de atención diferencial, intercultural étnica, de derechos humanos y género para los casos de ablación o mutilación genital femenina. </w:t>
      </w:r>
    </w:p>
    <w:p w:rsidR="001F2372" w:rsidRPr="001F2372" w:rsidRDefault="001F2372" w:rsidP="001F23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Rutas de prevención, atención, protección y acompañamiento alrededor de la ablación o mutilación genital femenina, prácticas nocivas, desde las cosmovisiones culturales y espirituales de las niñas y mujeres indígenas y de los territorios en los que se realice la práctica. </w:t>
      </w:r>
    </w:p>
    <w:p w:rsidR="001F2372" w:rsidRPr="001F2372" w:rsidRDefault="001F2372" w:rsidP="001F2372">
      <w:pPr>
        <w:spacing w:after="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Reportes trimestrales sobre las situaciones de riesgo, tendencias y posible aumento de casos de la ablación o mutilación genital femenina.</w:t>
      </w:r>
    </w:p>
    <w:p w:rsidR="001F2372" w:rsidRPr="001F2372" w:rsidRDefault="001F2372" w:rsidP="001F2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Capacitación integral para los profesionales de la salud en la prevención, identificación y atención de la ablación o mutilación genital femenina, especialmente en aquellos que laboren en Instituciones Prestadoras de Salud, públicas o privadas, circundantes a los territorios o poblaciones de comunidades indígenas donde se realice la práctica.</w:t>
      </w:r>
    </w:p>
    <w:p w:rsidR="001F2372" w:rsidRPr="001F2372" w:rsidRDefault="001F2372" w:rsidP="001F2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Educación para los profesionales de la salud en formación, dentro del marco de la autonomía universitaria, enfocado a prevención, identificación y atención de la ablación o mutilación genital femenina. Especialmente, aquellos que se forman en Instituciones de Educación Superior, públicas o privadas, que se encuentran en los departamentos donde se identifiquen asentamientos de comunidades indígenas donde se realice la práctica.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7"/>
        </w:num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La Política Pública deberá contemplar el enfoque intercultural en la cual se incluye de manera transversal la traducción de la misma en las lenguas indígenas que se requiera. </w:t>
      </w:r>
    </w:p>
    <w:p w:rsidR="001F2372" w:rsidRPr="001F2372" w:rsidRDefault="001F2372" w:rsidP="001F2372">
      <w:pPr>
        <w:spacing w:after="0" w:line="240" w:lineRule="auto"/>
        <w:ind w:left="72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lastRenderedPageBreak/>
        <w:t xml:space="preserve">Parágrafo 1.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El Ministerio del Interior, a través del Grupo de Género y Diversidad o quien haga sus veces y la Dirección de Asuntos Indígenas, ROM y Minorías  o quien haga sus veces en coordinación con el Ministerio de Salud y Protección Social, el Instituto Colombiano de Bienestar Familiar, Ministerio de Justicia y del Derecho y Ministerio de la Igualdad o quien haga sus veces, se encargará de la coordinación y de la secretaría técnica de los diversos espacios de concertación y podrán trabajar con organizaciones de la sociedad civil y organizaciones de cooperación internacional.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La Política Pública Nacional deberá ser concertada con las autoridades tradicionales indígenas de la familia lingüística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Emberá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y las instancias de coordinación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interjurisdiccional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, garantizando una efectiva participación, construcción e implementación en los territorios en donde se realiza esta práctica. 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Parágrafo 2.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El Grupo de Género y Diversidad, o quien haga sus veces, y la Dirección de Asuntos Indígenas, ROM y Minorías, o quien haga sus veces, del Ministerio del Interior, deberán rendir informe de implementación de la Política Pública Nacional para la prevención, atención y erradicación de la ablación o mutilación genital femenina en Colombia al Comité Nacional para la erradicación de la Mutilación Genital Femenina mínimo una vez cada seis (6) meses.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 xml:space="preserve">Artículo 4. Protocolo de atención a casos de Ablación o Mutilación Genital Femenina en el Sistema de Salud.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El Ministerio de Salud y Protección Social dentro de los doce (12) meses siguientes a la entrada en vigencia de esta Ley, deberá expedir y adoptar un protocolo obligatorio para el abordaje y la atención a niñas, adolescentes y mujeres. Este protocolo deberá incorporar como mínimo lo siguiente: 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Lineamientos para la detección, diagnóstico, clasificación, tratamiento, remisión a servicios de salud mental y otros profesionales para garantizar una atención en salud integral y seguimiento de los casos de ablación o mutilación genital femenina. </w:t>
      </w:r>
    </w:p>
    <w:p w:rsidR="001F2372" w:rsidRPr="001F2372" w:rsidRDefault="001F2372" w:rsidP="001F237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El acceso a la atención y abordaje intercultural, a través de la medicina ancestral para la población indígena.</w:t>
      </w:r>
    </w:p>
    <w:p w:rsidR="001F2372" w:rsidRPr="001F2372" w:rsidRDefault="001F2372" w:rsidP="001F237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Capacitación gratuita y obligatoria para los profesionales de la salud sobre la atención de casos de ablación o mutilación genital femenina con especial énfasis en los profesionales de primer nivel de atención.</w:t>
      </w:r>
    </w:p>
    <w:p w:rsidR="001F2372" w:rsidRPr="001F2372" w:rsidRDefault="001F2372" w:rsidP="001F237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Implementación de notificación diferencial dentro del Sistema Nacional de Vigilancia en Salud Pública (SIVIGILA), donde se permita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lastRenderedPageBreak/>
        <w:t>detallar los casos de mutilación o ablación genital femenina con: tipo de mutilación, si la práctica fue motivada por una creencia cultural u otro tipo de violencia, entre otros.</w:t>
      </w:r>
    </w:p>
    <w:p w:rsidR="001F2372" w:rsidRPr="001F2372" w:rsidRDefault="001F2372" w:rsidP="001F237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Mecanismos de seguimiento y vigilancia de la atención de los casos de ablación o mutilación genital femenina. </w:t>
      </w:r>
    </w:p>
    <w:p w:rsidR="001F2372" w:rsidRPr="001F2372" w:rsidRDefault="001F2372" w:rsidP="001F2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/>
        <w:jc w:val="both"/>
        <w:rPr>
          <w:rFonts w:ascii="Century Gothic" w:eastAsia="Calibri" w:hAnsi="Century Gothic" w:cs="Calibri"/>
          <w:color w:val="000000"/>
          <w:sz w:val="24"/>
          <w:szCs w:val="24"/>
          <w:shd w:val="clear" w:color="auto" w:fill="FF9900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 xml:space="preserve">Parágrafo.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Dentro de los mecanismos de seguimiento y vigilancia de atención a casos de ablación o mutilación genital femenina, que tengan lugar en territorios o población indígena, deb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erán ser partícipes la Subcomisión de Salud Indígena del Sistema Indígena de Salud Propio e Intercultural (SISPI), las autoridades o instancias de representación étnicas con garantía de participación de mujeres, las Entidades Promotoras de Salud o quien haga sus veces, que tenga afiliados en territorio o población indígena donde se realice la práctica, así como el respectivo ente territorial. Para los casos que involucren niñas o adolescentes menores de 18 años, deberá estar presente la seccional del Instituto Colombiano de Bienestar Familiar (ICBF) correspondiente.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 xml:space="preserve">Artículo 5. Contenidos pedagógicos.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Dentro de los doce (12) meses siguientes a la entrada en vigencia de la presente ley el Ministerio del Interior, en coordinación con el Ministerio de Salud y Protección Social, el Ministerio de Justicia y del Derecho, el Ministerio de Igualdad o quien haga sus veces, el Instituto Colombiano de Bienestar Familiar (ICBF)</w:t>
      </w:r>
      <w:r w:rsidR="00AA243C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, la Defensoría del Pueblo,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y las demás instituciones competentes, así como representantes de las organizaciones indígenas de los pueblos y territorios donde se realice la práctica y los entes territoriales, en el marco de los espacios de concertación, deberán diseñar una línea de acciones para la promoción de campañas de sensibilización y pedagogía en las comunidades indígenas y en los territorios en los que se realice la práctica en materia de protección de los derechos humanos de las niñas, adolescentes y mujeres con énfasis en la garantía de una vida libre de violenci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as.</w:t>
      </w:r>
    </w:p>
    <w:p w:rsidR="001F2372" w:rsidRPr="001F2372" w:rsidRDefault="001F2372" w:rsidP="001F2372">
      <w:pPr>
        <w:spacing w:before="240" w:after="24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</w:pP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El Ministerio de Educación Nacional promoverá la incorporación de los contenidos de la campaña en el Sistema Nacional de Convivencia Escolar y en las Escuelas para Padres y Madres de Familia.</w:t>
      </w:r>
    </w:p>
    <w:p w:rsidR="001F2372" w:rsidRPr="001F2372" w:rsidRDefault="001F2372" w:rsidP="001F2372">
      <w:pPr>
        <w:spacing w:before="240" w:after="24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highlight w:val="white"/>
          <w:lang w:eastAsia="es-CO"/>
        </w:rPr>
        <w:t>Parágrafo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. El Sistema de Medios Públicos Radio de Televisión Nacional de Colombia (RTVC) tendrá a cargo la producción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y emisión trimestral de una serie de productos audiovisuales que contribuyan a difundir los contenidos de la presente ley, relacionados con la prevención, atención y las consecuencias negativas de la ablación o mutilación genital femenina.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lastRenderedPageBreak/>
        <w:t>Asimismo, se desarrollará una serie de campañas digitales y BTL para la prevención en instituciones educativas en todo el territorio nacional. T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odos los contenidos que se desarrollen sobre la presente ley deberán ser replicados periódicamente por las entidades del orden nacional y territorial.</w:t>
      </w: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 xml:space="preserve">Artículo 6. Medidas de atención y prevención.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Las niñas, adolescentes y mujeres víctimas de ablación o mutilación genital femenina tendrán acceso a las medidas de atención y prevención de que trata la Ley 1257 de 2008.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highlight w:val="white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highlight w:val="white"/>
          <w:lang w:eastAsia="es-CO"/>
        </w:rPr>
        <w:t>Artículo 7. Canales de atención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. Se autoriza al Gobierno Nacional,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en cabeza del Ministerio de Justicia,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 xml:space="preserve"> para que en un término de doce (12) meses articule los canales de atención de mujeres víctimas de violencia, a nivel nacional y territorial, para que reciban los casos o alertas de ablación o mutilación genital femenina, con el fin de garantizar la atención integral. Esta articulación de canales deberá realizarse en el marco de la coordinación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interjurisdiccional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highlight w:val="white"/>
          <w:lang w:eastAsia="es-CO"/>
        </w:rPr>
        <w:t>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highlight w:val="cyan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 xml:space="preserve">Artículo 8. Sistema De Información. 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En concordancia con lo establecido en el artículo 9 numeral 9 de la Ley 1257 de 2008, artículo 12 de la Ley 1761 de 2015 y artículo 31 de la Ley 1719 de 2014, Ministerio de Salud y Protección Social y el Instituto Colombiano de Bienestar Familiar, en el plazo de doce (12) meses desde la entrada en vigencia de la presente ley, deberán diseñar, adaptar, implementar y alimentar un sistema de información articulado para el registro de casos de ablación o mutilación genital femenina que permita recolectar, procesar, registrar, analizar, publicar y difundir información periódica sobre esta práctica.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Artículo 9.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</w:t>
      </w: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 xml:space="preserve"> Día de Tolerancia Cero con la Ablación o Mutilación Genital Femenina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. Establézcase el 6 de febrero como el día nacional en donde se conmemora la Tolerancia Cero con la Ablación o Mutilación Genital Femenina, con el propósito de avanzar en la sensibilización, </w:t>
      </w:r>
      <w:proofErr w:type="spellStart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visibilización</w:t>
      </w:r>
      <w:proofErr w:type="spellEnd"/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>, concientización de esta práctica en todo el territorio nacional. Para ello, autorícese a las entidades del orden nacional, departamental y municipal, sector central y descentralizado a diseñar y desarrollar programas, actividades y eventos dirigidos a tales propósitos.</w:t>
      </w: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210E09" w:rsidRDefault="00210E09" w:rsidP="001F2372">
      <w:pPr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1F2372" w:rsidRPr="001F2372" w:rsidRDefault="001F2372" w:rsidP="001F2372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</w:pPr>
      <w:r w:rsidRPr="001F2372"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  <w:t>Artículo 10.</w:t>
      </w:r>
      <w:r w:rsidRPr="001F2372">
        <w:rPr>
          <w:rFonts w:ascii="Century Gothic" w:eastAsia="Calibri" w:hAnsi="Century Gothic" w:cs="Calibri"/>
          <w:color w:val="000000"/>
          <w:sz w:val="24"/>
          <w:szCs w:val="24"/>
          <w:lang w:eastAsia="es-CO"/>
        </w:rPr>
        <w:t xml:space="preserve"> La presente ley rige a partir de su sanción, promulgación y publicación en el Diario Oficial. </w:t>
      </w:r>
    </w:p>
    <w:p w:rsidR="001F2372" w:rsidRPr="001F2372" w:rsidRDefault="001F2372" w:rsidP="001F23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entury Gothic" w:eastAsia="Calibri" w:hAnsi="Century Gothic" w:cs="Calibri"/>
          <w:b/>
          <w:color w:val="000000"/>
          <w:sz w:val="24"/>
          <w:szCs w:val="24"/>
          <w:lang w:eastAsia="es-CO"/>
        </w:rPr>
      </w:pPr>
    </w:p>
    <w:p w:rsidR="00D25E1A" w:rsidRDefault="00D25E1A" w:rsidP="006E3F60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bidi="es-CO"/>
        </w:rPr>
      </w:pPr>
    </w:p>
    <w:p w:rsidR="00210E09" w:rsidRPr="001F2372" w:rsidRDefault="00210E09" w:rsidP="006E3F60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bidi="es-CO"/>
        </w:rPr>
      </w:pPr>
    </w:p>
    <w:p w:rsidR="00C7658D" w:rsidRPr="001F2372" w:rsidRDefault="00210E09" w:rsidP="00C7658D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Arial"/>
          <w:sz w:val="24"/>
          <w:szCs w:val="24"/>
          <w:highlight w:val="white"/>
        </w:rPr>
      </w:pPr>
      <w:r>
        <w:rPr>
          <w:rFonts w:ascii="Century Gothic" w:eastAsia="Century Gothic" w:hAnsi="Century Gothic" w:cs="Arial"/>
          <w:sz w:val="24"/>
          <w:szCs w:val="24"/>
          <w:highlight w:val="white"/>
        </w:rPr>
        <w:t>E</w:t>
      </w:r>
      <w:r w:rsidR="00C7658D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 xml:space="preserve">n los anteriores términos fue aprobado </w:t>
      </w:r>
      <w:r w:rsidR="00D06595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>co</w:t>
      </w:r>
      <w:r w:rsidR="00C7658D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 xml:space="preserve">n modificaciones en primer debate el presente Proyecto de Ley, según consta en el Acta No. </w:t>
      </w:r>
      <w:r w:rsidR="006E3F60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>32 de sesión del 26</w:t>
      </w:r>
      <w:r w:rsidR="00C7658D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 xml:space="preserve"> de </w:t>
      </w:r>
      <w:r w:rsidR="008C5463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 xml:space="preserve">febrero </w:t>
      </w:r>
      <w:r w:rsidR="00C7658D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>de 202</w:t>
      </w:r>
      <w:r w:rsidR="008C5463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>5</w:t>
      </w:r>
      <w:r w:rsidR="00C7658D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>. Así mismo fue anunc</w:t>
      </w:r>
      <w:r w:rsidR="006E3F60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>iado entre otras fechas el día 25</w:t>
      </w:r>
      <w:r w:rsidR="00C7658D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 xml:space="preserve"> de </w:t>
      </w:r>
      <w:r w:rsidR="008C5463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 xml:space="preserve">febrero </w:t>
      </w:r>
      <w:r w:rsidR="00C7658D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>de 202</w:t>
      </w:r>
      <w:r w:rsidR="008C5463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>5</w:t>
      </w:r>
      <w:r w:rsidR="00C7658D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 xml:space="preserve">, según consta en el Acta </w:t>
      </w:r>
      <w:r w:rsidR="006E3F60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>31</w:t>
      </w:r>
      <w:r w:rsidR="00C7658D" w:rsidRPr="001F2372">
        <w:rPr>
          <w:rFonts w:ascii="Century Gothic" w:eastAsia="Century Gothic" w:hAnsi="Century Gothic" w:cs="Arial"/>
          <w:sz w:val="24"/>
          <w:szCs w:val="24"/>
          <w:highlight w:val="white"/>
        </w:rPr>
        <w:t xml:space="preserve"> de Sesión de esa misma fecha.</w:t>
      </w:r>
    </w:p>
    <w:p w:rsidR="00E90D44" w:rsidRPr="001F2372" w:rsidRDefault="00E90D44" w:rsidP="00C7658D">
      <w:pPr>
        <w:tabs>
          <w:tab w:val="left" w:pos="4678"/>
          <w:tab w:val="left" w:pos="5103"/>
        </w:tabs>
        <w:spacing w:after="0" w:line="240" w:lineRule="auto"/>
        <w:rPr>
          <w:rFonts w:ascii="Century Gothic" w:eastAsia="Century Gothic" w:hAnsi="Century Gothic" w:cs="Arial"/>
          <w:b/>
          <w:sz w:val="24"/>
          <w:szCs w:val="24"/>
          <w:highlight w:val="white"/>
        </w:rPr>
      </w:pPr>
    </w:p>
    <w:p w:rsidR="008C5463" w:rsidRDefault="008C5463" w:rsidP="00C7658D">
      <w:pPr>
        <w:tabs>
          <w:tab w:val="left" w:pos="4678"/>
          <w:tab w:val="left" w:pos="5103"/>
        </w:tabs>
        <w:spacing w:after="0" w:line="240" w:lineRule="auto"/>
        <w:rPr>
          <w:rFonts w:ascii="Century Gothic" w:eastAsia="Century Gothic" w:hAnsi="Century Gothic" w:cs="Arial"/>
          <w:b/>
          <w:sz w:val="24"/>
          <w:szCs w:val="24"/>
          <w:highlight w:val="white"/>
        </w:rPr>
      </w:pPr>
    </w:p>
    <w:p w:rsidR="00311769" w:rsidRPr="00147260" w:rsidRDefault="00311769" w:rsidP="00C7658D">
      <w:pPr>
        <w:tabs>
          <w:tab w:val="left" w:pos="4678"/>
          <w:tab w:val="left" w:pos="5103"/>
        </w:tabs>
        <w:spacing w:after="0" w:line="240" w:lineRule="auto"/>
        <w:rPr>
          <w:rFonts w:ascii="Century Gothic" w:eastAsia="Century Gothic" w:hAnsi="Century Gothic" w:cs="Arial"/>
          <w:b/>
          <w:highlight w:val="white"/>
        </w:rPr>
      </w:pPr>
    </w:p>
    <w:p w:rsidR="00F418EE" w:rsidRPr="00147260" w:rsidRDefault="00F418EE" w:rsidP="00C7658D">
      <w:pPr>
        <w:tabs>
          <w:tab w:val="left" w:pos="4678"/>
          <w:tab w:val="left" w:pos="5103"/>
        </w:tabs>
        <w:spacing w:after="0" w:line="240" w:lineRule="auto"/>
        <w:rPr>
          <w:rFonts w:ascii="Century Gothic" w:eastAsia="Century Gothic" w:hAnsi="Century Gothic" w:cs="Arial"/>
          <w:b/>
          <w:highlight w:val="white"/>
        </w:rPr>
      </w:pPr>
    </w:p>
    <w:p w:rsidR="00C7658D" w:rsidRPr="00147260" w:rsidRDefault="006E3F60" w:rsidP="00C7658D">
      <w:pPr>
        <w:tabs>
          <w:tab w:val="left" w:pos="4678"/>
          <w:tab w:val="left" w:pos="5103"/>
        </w:tabs>
        <w:spacing w:after="0" w:line="240" w:lineRule="auto"/>
        <w:rPr>
          <w:rFonts w:ascii="Century Gothic" w:eastAsia="Century Gothic" w:hAnsi="Century Gothic" w:cs="Arial"/>
          <w:b/>
          <w:highlight w:val="white"/>
        </w:rPr>
      </w:pPr>
      <w:r w:rsidRPr="00147260">
        <w:rPr>
          <w:rFonts w:ascii="Century Gothic" w:eastAsia="Century Gothic" w:hAnsi="Century Gothic" w:cs="Arial"/>
          <w:b/>
          <w:highlight w:val="white"/>
        </w:rPr>
        <w:t>JENNIFER D. PEDRAZA SANDOVAL</w:t>
      </w:r>
      <w:r w:rsidR="00147260">
        <w:rPr>
          <w:rFonts w:ascii="Century Gothic" w:eastAsia="Century Gothic" w:hAnsi="Century Gothic" w:cs="Arial"/>
          <w:b/>
          <w:highlight w:val="white"/>
        </w:rPr>
        <w:t xml:space="preserve">            </w:t>
      </w:r>
      <w:bookmarkStart w:id="0" w:name="_GoBack"/>
      <w:bookmarkEnd w:id="0"/>
      <w:r w:rsidR="00147260" w:rsidRPr="00147260">
        <w:rPr>
          <w:rFonts w:ascii="Century Gothic" w:eastAsia="Century Gothic" w:hAnsi="Century Gothic" w:cs="Arial"/>
          <w:b/>
          <w:highlight w:val="white"/>
        </w:rPr>
        <w:t>MARELEN CASTILLO TORRES</w:t>
      </w:r>
    </w:p>
    <w:p w:rsidR="00C7658D" w:rsidRPr="00147260" w:rsidRDefault="006E3F60" w:rsidP="00C7658D">
      <w:pPr>
        <w:tabs>
          <w:tab w:val="left" w:pos="4678"/>
          <w:tab w:val="left" w:pos="5103"/>
        </w:tabs>
        <w:spacing w:after="0" w:line="240" w:lineRule="auto"/>
        <w:rPr>
          <w:rFonts w:ascii="Century Gothic" w:eastAsia="Century Gothic" w:hAnsi="Century Gothic" w:cs="Arial"/>
          <w:highlight w:val="white"/>
        </w:rPr>
      </w:pPr>
      <w:r w:rsidRPr="00147260">
        <w:rPr>
          <w:rFonts w:ascii="Century Gothic" w:eastAsia="Century Gothic" w:hAnsi="Century Gothic" w:cs="Arial"/>
          <w:highlight w:val="white"/>
        </w:rPr>
        <w:t>Ponente Coordinadora</w:t>
      </w:r>
      <w:r w:rsidR="00147260">
        <w:rPr>
          <w:rFonts w:ascii="Century Gothic" w:eastAsia="Century Gothic" w:hAnsi="Century Gothic" w:cs="Arial"/>
          <w:highlight w:val="white"/>
        </w:rPr>
        <w:t xml:space="preserve">                             </w:t>
      </w:r>
      <w:r w:rsidR="00147260" w:rsidRPr="00147260">
        <w:rPr>
          <w:rFonts w:ascii="Century Gothic" w:eastAsia="Century Gothic" w:hAnsi="Century Gothic" w:cs="Arial"/>
          <w:highlight w:val="white"/>
        </w:rPr>
        <w:t>Ponente Coordinadora</w:t>
      </w:r>
    </w:p>
    <w:p w:rsidR="00C7658D" w:rsidRPr="00147260" w:rsidRDefault="00C7658D" w:rsidP="00C7658D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Century Gothic" w:eastAsia="Century Gothic" w:hAnsi="Century Gothic" w:cs="Arial"/>
          <w:highlight w:val="white"/>
        </w:rPr>
      </w:pPr>
    </w:p>
    <w:p w:rsidR="00F418EE" w:rsidRPr="00147260" w:rsidRDefault="00F418EE" w:rsidP="00C7658D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Century Gothic" w:eastAsia="Century Gothic" w:hAnsi="Century Gothic" w:cs="Arial"/>
          <w:highlight w:val="white"/>
        </w:rPr>
      </w:pPr>
    </w:p>
    <w:p w:rsidR="006E3F60" w:rsidRPr="00147260" w:rsidRDefault="006E3F60" w:rsidP="00C7658D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Century Gothic" w:eastAsia="Century Gothic" w:hAnsi="Century Gothic" w:cs="Arial"/>
          <w:highlight w:val="white"/>
        </w:rPr>
      </w:pPr>
    </w:p>
    <w:p w:rsidR="00F418EE" w:rsidRPr="00147260" w:rsidRDefault="00F418EE" w:rsidP="00C7658D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Century Gothic" w:eastAsia="Century Gothic" w:hAnsi="Century Gothic" w:cs="Arial"/>
          <w:highlight w:val="white"/>
        </w:rPr>
      </w:pPr>
    </w:p>
    <w:p w:rsidR="00C7658D" w:rsidRPr="00147260" w:rsidRDefault="00147260" w:rsidP="00147260">
      <w:pPr>
        <w:tabs>
          <w:tab w:val="left" w:pos="4678"/>
          <w:tab w:val="left" w:pos="5103"/>
        </w:tabs>
        <w:spacing w:after="0" w:line="240" w:lineRule="auto"/>
        <w:rPr>
          <w:rFonts w:ascii="Century Gothic" w:eastAsia="Century Gothic" w:hAnsi="Century Gothic" w:cs="Arial"/>
          <w:b/>
        </w:rPr>
      </w:pPr>
      <w:r w:rsidRPr="00147260">
        <w:rPr>
          <w:rFonts w:ascii="Century Gothic" w:eastAsia="Century Gothic" w:hAnsi="Century Gothic" w:cs="Arial"/>
          <w:b/>
          <w:highlight w:val="white"/>
        </w:rPr>
        <w:t>ANA PAOLA GARCÍA SOTO</w:t>
      </w:r>
      <w:r w:rsidRPr="00147260">
        <w:rPr>
          <w:rFonts w:ascii="Century Gothic" w:eastAsia="Century Gothic" w:hAnsi="Century Gothic" w:cs="Arial"/>
          <w:b/>
        </w:rPr>
        <w:t xml:space="preserve">                       </w:t>
      </w:r>
      <w:r w:rsidR="00C7658D" w:rsidRPr="00147260">
        <w:rPr>
          <w:rFonts w:ascii="Century Gothic" w:eastAsia="Century Gothic" w:hAnsi="Century Gothic" w:cs="Arial"/>
          <w:b/>
        </w:rPr>
        <w:t>AMPARO YANETH CALDERON PERDOMO</w:t>
      </w:r>
    </w:p>
    <w:p w:rsidR="008C485F" w:rsidRPr="00147260" w:rsidRDefault="00147260" w:rsidP="00147260">
      <w:pPr>
        <w:tabs>
          <w:tab w:val="left" w:pos="4678"/>
          <w:tab w:val="left" w:pos="5103"/>
        </w:tabs>
        <w:spacing w:after="0" w:line="240" w:lineRule="auto"/>
        <w:rPr>
          <w:rFonts w:ascii="Century Gothic" w:eastAsia="Arial Narrow" w:hAnsi="Century Gothic" w:cs="Arial"/>
          <w:color w:val="000000"/>
        </w:rPr>
      </w:pPr>
      <w:r>
        <w:rPr>
          <w:rFonts w:ascii="Century Gothic" w:eastAsia="Century Gothic" w:hAnsi="Century Gothic" w:cs="Arial"/>
          <w:highlight w:val="white"/>
        </w:rPr>
        <w:t>Presidenta</w:t>
      </w:r>
      <w:r w:rsidR="00C7658D" w:rsidRPr="00147260">
        <w:rPr>
          <w:rFonts w:ascii="Century Gothic" w:eastAsia="Century Gothic" w:hAnsi="Century Gothic" w:cs="Arial"/>
          <w:highlight w:val="white"/>
        </w:rPr>
        <w:t xml:space="preserve">                                                    Secretaria</w:t>
      </w:r>
    </w:p>
    <w:sectPr w:rsidR="008C485F" w:rsidRPr="00147260" w:rsidSect="00E66A69">
      <w:headerReference w:type="default" r:id="rId8"/>
      <w:footerReference w:type="default" r:id="rId9"/>
      <w:pgSz w:w="12240" w:h="15840"/>
      <w:pgMar w:top="709" w:right="1701" w:bottom="1417" w:left="1701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6A" w:rsidRDefault="00B1126A" w:rsidP="002B77F9">
      <w:pPr>
        <w:spacing w:after="0" w:line="240" w:lineRule="auto"/>
      </w:pPr>
      <w:r>
        <w:separator/>
      </w:r>
    </w:p>
  </w:endnote>
  <w:endnote w:type="continuationSeparator" w:id="0">
    <w:p w:rsidR="00B1126A" w:rsidRDefault="00B1126A" w:rsidP="002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70197"/>
      <w:docPartObj>
        <w:docPartGallery w:val="Page Numbers (Bottom of Page)"/>
        <w:docPartUnique/>
      </w:docPartObj>
    </w:sdtPr>
    <w:sdtEndPr/>
    <w:sdtContent>
      <w:p w:rsidR="007D2B23" w:rsidRPr="00F31B05" w:rsidRDefault="007D2B23" w:rsidP="00C72FDB">
        <w:pPr>
          <w:pStyle w:val="Piedepgina"/>
          <w:jc w:val="center"/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Comisión Primera de la H. Cámara de Representantes</w:t>
        </w:r>
      </w:p>
      <w:p w:rsidR="007D2B23" w:rsidRPr="00CA7BFC" w:rsidRDefault="007D2B23" w:rsidP="00C72FD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808080" w:themeColor="background1" w:themeShade="80"/>
            <w:szCs w:val="24"/>
            <w:u w:val="single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Carrera 7 N° 8 – 68, oficina 238 B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s-ES" w:eastAsia="es-ES"/>
          </w:rPr>
          <w:t xml:space="preserve">  </w:t>
        </w:r>
        <w:hyperlink r:id="rId1" w:history="1">
          <w:r w:rsidRPr="00CA7BFC">
            <w:rPr>
              <w:rFonts w:ascii="Aparajita" w:eastAsia="Times New Roman" w:hAnsi="Aparajita" w:cs="Aparajita"/>
              <w:color w:val="023160" w:themeColor="hyperlink" w:themeShade="80"/>
              <w:szCs w:val="24"/>
              <w:u w:val="single"/>
              <w:lang w:val="es-ES" w:eastAsia="es-ES"/>
            </w:rPr>
            <w:t>www.camara.gov.co</w:t>
          </w:r>
        </w:hyperlink>
      </w:p>
      <w:p w:rsidR="007D2B23" w:rsidRDefault="007D2B23" w:rsidP="00C72FDB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PBX: 3904050 – Ext. 4289 - 4288  Email: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n-US" w:eastAsia="es-ES"/>
          </w:rPr>
          <w:t xml:space="preserve"> </w:t>
        </w:r>
        <w:hyperlink r:id="rId2" w:history="1">
          <w:r w:rsidRPr="00CA7BFC">
            <w:rPr>
              <w:rFonts w:ascii="Aparajita" w:hAnsi="Aparajita" w:cs="Aparajita"/>
              <w:color w:val="023160" w:themeColor="hyperlink" w:themeShade="80"/>
              <w:szCs w:val="24"/>
              <w:u w:val="single"/>
              <w:lang w:val="en-US"/>
            </w:rPr>
            <w:t>comision.primera@camara.gov.co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6A" w:rsidRDefault="00B1126A" w:rsidP="002B77F9">
      <w:pPr>
        <w:spacing w:after="0" w:line="240" w:lineRule="auto"/>
      </w:pPr>
      <w:r>
        <w:separator/>
      </w:r>
    </w:p>
  </w:footnote>
  <w:footnote w:type="continuationSeparator" w:id="0">
    <w:p w:rsidR="00B1126A" w:rsidRDefault="00B1126A" w:rsidP="002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23" w:rsidRDefault="00B1126A" w:rsidP="00C72FDB">
    <w:pPr>
      <w:pStyle w:val="Encabezado"/>
      <w:jc w:val="center"/>
    </w:pPr>
    <w:sdt>
      <w:sdtPr>
        <w:id w:val="1036773030"/>
        <w:docPartObj>
          <w:docPartGallery w:val="Page Numbers (Margins)"/>
          <w:docPartUnique/>
        </w:docPartObj>
      </w:sdtPr>
      <w:sdtEndPr/>
      <w:sdtContent>
        <w:r w:rsidR="007D2B23"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23" w:rsidRDefault="007D2B2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47260" w:rsidRPr="00147260">
                                <w:rPr>
                                  <w:noProof/>
                                  <w:lang w:val="es-ES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YTRO&#10;4IUCAAAH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:rsidR="007D2B23" w:rsidRDefault="007D2B2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47260" w:rsidRPr="00147260">
                          <w:rPr>
                            <w:noProof/>
                            <w:lang w:val="es-ES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D2B23">
      <w:rPr>
        <w:noProof/>
        <w:lang w:eastAsia="es-CO"/>
      </w:rPr>
      <w:drawing>
        <wp:inline distT="0" distB="0" distL="0" distR="0" wp14:anchorId="650B247E" wp14:editId="7783E005">
          <wp:extent cx="1939016" cy="558487"/>
          <wp:effectExtent l="0" t="0" r="4445" b="0"/>
          <wp:docPr id="8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63" cy="5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B23" w:rsidRDefault="007D2B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AF"/>
    <w:multiLevelType w:val="multilevel"/>
    <w:tmpl w:val="D93EA8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08B"/>
    <w:multiLevelType w:val="multilevel"/>
    <w:tmpl w:val="225CA7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4EDC"/>
    <w:multiLevelType w:val="multilevel"/>
    <w:tmpl w:val="33C0B9C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F15"/>
    <w:multiLevelType w:val="hybridMultilevel"/>
    <w:tmpl w:val="5D8A0D3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04AFC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AF7"/>
    <w:multiLevelType w:val="hybridMultilevel"/>
    <w:tmpl w:val="8910AC64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4B17"/>
    <w:multiLevelType w:val="hybridMultilevel"/>
    <w:tmpl w:val="D80AA262"/>
    <w:lvl w:ilvl="0" w:tplc="0BA624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3D3"/>
    <w:multiLevelType w:val="multilevel"/>
    <w:tmpl w:val="3916555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8EF1243"/>
    <w:multiLevelType w:val="multilevel"/>
    <w:tmpl w:val="90A4645E"/>
    <w:lvl w:ilvl="0">
      <w:start w:val="1"/>
      <w:numFmt w:val="lowerLetter"/>
      <w:lvlText w:val="%1."/>
      <w:lvlJc w:val="left"/>
      <w:pPr>
        <w:ind w:left="36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F6181"/>
    <w:multiLevelType w:val="multilevel"/>
    <w:tmpl w:val="9BB62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206C29"/>
    <w:multiLevelType w:val="multilevel"/>
    <w:tmpl w:val="6858665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C6198B"/>
    <w:multiLevelType w:val="multilevel"/>
    <w:tmpl w:val="62FCBA0A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71113D1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6150A"/>
    <w:multiLevelType w:val="multilevel"/>
    <w:tmpl w:val="A27AB53A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847A78"/>
    <w:multiLevelType w:val="multilevel"/>
    <w:tmpl w:val="B894AE6E"/>
    <w:lvl w:ilvl="0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CC41A2"/>
    <w:multiLevelType w:val="hybridMultilevel"/>
    <w:tmpl w:val="717E5354"/>
    <w:lvl w:ilvl="0" w:tplc="3FB6825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2E3876"/>
    <w:multiLevelType w:val="hybridMultilevel"/>
    <w:tmpl w:val="82E2B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01C27"/>
    <w:multiLevelType w:val="multilevel"/>
    <w:tmpl w:val="70BEAC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844C3B"/>
    <w:multiLevelType w:val="multilevel"/>
    <w:tmpl w:val="D72ADF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DF36BB8"/>
    <w:multiLevelType w:val="multilevel"/>
    <w:tmpl w:val="B894AE6E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510CC"/>
    <w:multiLevelType w:val="multilevel"/>
    <w:tmpl w:val="3460AE0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365B75"/>
    <w:multiLevelType w:val="hybridMultilevel"/>
    <w:tmpl w:val="D7427768"/>
    <w:lvl w:ilvl="0" w:tplc="08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62EA8"/>
    <w:multiLevelType w:val="multilevel"/>
    <w:tmpl w:val="2C0AF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65A95F36"/>
    <w:multiLevelType w:val="hybridMultilevel"/>
    <w:tmpl w:val="8A9E365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FB71B0C"/>
    <w:multiLevelType w:val="hybridMultilevel"/>
    <w:tmpl w:val="89AE421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1231DD1"/>
    <w:multiLevelType w:val="multilevel"/>
    <w:tmpl w:val="1994BCBC"/>
    <w:lvl w:ilvl="0">
      <w:start w:val="1"/>
      <w:numFmt w:val="lowerLetter"/>
      <w:lvlText w:val="%1."/>
      <w:lvlJc w:val="left"/>
      <w:pPr>
        <w:ind w:left="709" w:hanging="359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6C0F7D"/>
    <w:multiLevelType w:val="multilevel"/>
    <w:tmpl w:val="E006F98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B2852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5690E"/>
    <w:multiLevelType w:val="multilevel"/>
    <w:tmpl w:val="2940C32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16"/>
  </w:num>
  <w:num w:numId="9">
    <w:abstractNumId w:val="9"/>
  </w:num>
  <w:num w:numId="10">
    <w:abstractNumId w:val="12"/>
  </w:num>
  <w:num w:numId="11">
    <w:abstractNumId w:val="27"/>
  </w:num>
  <w:num w:numId="12">
    <w:abstractNumId w:val="19"/>
  </w:num>
  <w:num w:numId="13">
    <w:abstractNumId w:val="26"/>
  </w:num>
  <w:num w:numId="14">
    <w:abstractNumId w:val="17"/>
  </w:num>
  <w:num w:numId="15">
    <w:abstractNumId w:val="15"/>
  </w:num>
  <w:num w:numId="16">
    <w:abstractNumId w:val="22"/>
  </w:num>
  <w:num w:numId="17">
    <w:abstractNumId w:val="14"/>
  </w:num>
  <w:num w:numId="18">
    <w:abstractNumId w:val="3"/>
  </w:num>
  <w:num w:numId="19">
    <w:abstractNumId w:val="4"/>
  </w:num>
  <w:num w:numId="20">
    <w:abstractNumId w:val="23"/>
  </w:num>
  <w:num w:numId="21">
    <w:abstractNumId w:val="20"/>
  </w:num>
  <w:num w:numId="22">
    <w:abstractNumId w:val="18"/>
  </w:num>
  <w:num w:numId="23">
    <w:abstractNumId w:val="13"/>
  </w:num>
  <w:num w:numId="24">
    <w:abstractNumId w:val="25"/>
  </w:num>
  <w:num w:numId="25">
    <w:abstractNumId w:val="10"/>
  </w:num>
  <w:num w:numId="26">
    <w:abstractNumId w:val="21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F9"/>
    <w:rsid w:val="000022B6"/>
    <w:rsid w:val="0002239B"/>
    <w:rsid w:val="000264C6"/>
    <w:rsid w:val="00060965"/>
    <w:rsid w:val="00071BE2"/>
    <w:rsid w:val="00072389"/>
    <w:rsid w:val="000B2703"/>
    <w:rsid w:val="000B431C"/>
    <w:rsid w:val="001066C3"/>
    <w:rsid w:val="00147260"/>
    <w:rsid w:val="0019687F"/>
    <w:rsid w:val="001A730E"/>
    <w:rsid w:val="001B59F5"/>
    <w:rsid w:val="001C02DA"/>
    <w:rsid w:val="001D46E7"/>
    <w:rsid w:val="001F1108"/>
    <w:rsid w:val="001F2372"/>
    <w:rsid w:val="001F4B8D"/>
    <w:rsid w:val="00205249"/>
    <w:rsid w:val="00210E09"/>
    <w:rsid w:val="002227A1"/>
    <w:rsid w:val="00234747"/>
    <w:rsid w:val="00234FE5"/>
    <w:rsid w:val="002502B4"/>
    <w:rsid w:val="00255D5C"/>
    <w:rsid w:val="00260D6F"/>
    <w:rsid w:val="002743DF"/>
    <w:rsid w:val="00286D4E"/>
    <w:rsid w:val="002A00E2"/>
    <w:rsid w:val="002A3EA0"/>
    <w:rsid w:val="002B541B"/>
    <w:rsid w:val="002B6AF6"/>
    <w:rsid w:val="002B77F9"/>
    <w:rsid w:val="002D7DBF"/>
    <w:rsid w:val="002E25CA"/>
    <w:rsid w:val="002F02B3"/>
    <w:rsid w:val="002F539C"/>
    <w:rsid w:val="00311769"/>
    <w:rsid w:val="00321326"/>
    <w:rsid w:val="00335045"/>
    <w:rsid w:val="00342B29"/>
    <w:rsid w:val="00355892"/>
    <w:rsid w:val="003604D0"/>
    <w:rsid w:val="00376F05"/>
    <w:rsid w:val="003873C2"/>
    <w:rsid w:val="00387BD8"/>
    <w:rsid w:val="00393CA3"/>
    <w:rsid w:val="00394EAC"/>
    <w:rsid w:val="003B0401"/>
    <w:rsid w:val="003C4239"/>
    <w:rsid w:val="003F126E"/>
    <w:rsid w:val="003F5C5D"/>
    <w:rsid w:val="003F7B98"/>
    <w:rsid w:val="003F7F52"/>
    <w:rsid w:val="0043525D"/>
    <w:rsid w:val="00436F33"/>
    <w:rsid w:val="00463B62"/>
    <w:rsid w:val="00464F6C"/>
    <w:rsid w:val="00485F9F"/>
    <w:rsid w:val="0049097B"/>
    <w:rsid w:val="004C0174"/>
    <w:rsid w:val="004C05B3"/>
    <w:rsid w:val="004C57E9"/>
    <w:rsid w:val="004C5D69"/>
    <w:rsid w:val="004D4AE0"/>
    <w:rsid w:val="004D759E"/>
    <w:rsid w:val="00511ED4"/>
    <w:rsid w:val="00514173"/>
    <w:rsid w:val="00520C0E"/>
    <w:rsid w:val="00531BD8"/>
    <w:rsid w:val="0054460A"/>
    <w:rsid w:val="00546013"/>
    <w:rsid w:val="0054784F"/>
    <w:rsid w:val="00554A09"/>
    <w:rsid w:val="005648D5"/>
    <w:rsid w:val="00566713"/>
    <w:rsid w:val="0057315F"/>
    <w:rsid w:val="00592B55"/>
    <w:rsid w:val="005A2CA1"/>
    <w:rsid w:val="005B4CE4"/>
    <w:rsid w:val="005C604F"/>
    <w:rsid w:val="005D4583"/>
    <w:rsid w:val="005D4CF6"/>
    <w:rsid w:val="005E17D9"/>
    <w:rsid w:val="00615662"/>
    <w:rsid w:val="00617D5F"/>
    <w:rsid w:val="006263B1"/>
    <w:rsid w:val="006466D3"/>
    <w:rsid w:val="00651F09"/>
    <w:rsid w:val="00657E26"/>
    <w:rsid w:val="006842AA"/>
    <w:rsid w:val="006A6080"/>
    <w:rsid w:val="006C2025"/>
    <w:rsid w:val="006E3F60"/>
    <w:rsid w:val="006F5535"/>
    <w:rsid w:val="007118F9"/>
    <w:rsid w:val="00741F4B"/>
    <w:rsid w:val="007523F7"/>
    <w:rsid w:val="00762CE9"/>
    <w:rsid w:val="00767102"/>
    <w:rsid w:val="00770A1E"/>
    <w:rsid w:val="00784634"/>
    <w:rsid w:val="00791199"/>
    <w:rsid w:val="007A27BF"/>
    <w:rsid w:val="007A64EA"/>
    <w:rsid w:val="007C1176"/>
    <w:rsid w:val="007C2835"/>
    <w:rsid w:val="007C791A"/>
    <w:rsid w:val="007D2B23"/>
    <w:rsid w:val="007F02A1"/>
    <w:rsid w:val="0081409F"/>
    <w:rsid w:val="00820746"/>
    <w:rsid w:val="00820AC5"/>
    <w:rsid w:val="008214EF"/>
    <w:rsid w:val="0083563E"/>
    <w:rsid w:val="008356FB"/>
    <w:rsid w:val="00836D1A"/>
    <w:rsid w:val="00864666"/>
    <w:rsid w:val="00864E81"/>
    <w:rsid w:val="008948A9"/>
    <w:rsid w:val="008C0270"/>
    <w:rsid w:val="008C485F"/>
    <w:rsid w:val="008C4F3D"/>
    <w:rsid w:val="008C5463"/>
    <w:rsid w:val="008C5C63"/>
    <w:rsid w:val="008D5251"/>
    <w:rsid w:val="008D78C3"/>
    <w:rsid w:val="008F3182"/>
    <w:rsid w:val="009230CE"/>
    <w:rsid w:val="00923E69"/>
    <w:rsid w:val="00930B4E"/>
    <w:rsid w:val="0093261F"/>
    <w:rsid w:val="009338BD"/>
    <w:rsid w:val="00971B33"/>
    <w:rsid w:val="00980BCD"/>
    <w:rsid w:val="00986396"/>
    <w:rsid w:val="009927DB"/>
    <w:rsid w:val="00993253"/>
    <w:rsid w:val="0099350E"/>
    <w:rsid w:val="00993DA6"/>
    <w:rsid w:val="009A138B"/>
    <w:rsid w:val="009A58FC"/>
    <w:rsid w:val="009B67AC"/>
    <w:rsid w:val="009C12A5"/>
    <w:rsid w:val="009F327E"/>
    <w:rsid w:val="009F5598"/>
    <w:rsid w:val="00A25E23"/>
    <w:rsid w:val="00A43CC7"/>
    <w:rsid w:val="00A45EAE"/>
    <w:rsid w:val="00A46D79"/>
    <w:rsid w:val="00A75B7B"/>
    <w:rsid w:val="00A75CDA"/>
    <w:rsid w:val="00A872C8"/>
    <w:rsid w:val="00A952CD"/>
    <w:rsid w:val="00A95D13"/>
    <w:rsid w:val="00AA243C"/>
    <w:rsid w:val="00AB14CD"/>
    <w:rsid w:val="00AD3B2D"/>
    <w:rsid w:val="00AE692D"/>
    <w:rsid w:val="00AF36DE"/>
    <w:rsid w:val="00AF7024"/>
    <w:rsid w:val="00AF764F"/>
    <w:rsid w:val="00B01CAB"/>
    <w:rsid w:val="00B1126A"/>
    <w:rsid w:val="00B17EFD"/>
    <w:rsid w:val="00B445A7"/>
    <w:rsid w:val="00B45F28"/>
    <w:rsid w:val="00B60DFC"/>
    <w:rsid w:val="00BB52F2"/>
    <w:rsid w:val="00BC47DE"/>
    <w:rsid w:val="00BD4141"/>
    <w:rsid w:val="00BD5A9F"/>
    <w:rsid w:val="00C0765C"/>
    <w:rsid w:val="00C41881"/>
    <w:rsid w:val="00C421C4"/>
    <w:rsid w:val="00C5586A"/>
    <w:rsid w:val="00C72FDB"/>
    <w:rsid w:val="00C74091"/>
    <w:rsid w:val="00C7658D"/>
    <w:rsid w:val="00C81DC9"/>
    <w:rsid w:val="00C90D70"/>
    <w:rsid w:val="00C91D4B"/>
    <w:rsid w:val="00CA1400"/>
    <w:rsid w:val="00CF4523"/>
    <w:rsid w:val="00CF6F6C"/>
    <w:rsid w:val="00D012A0"/>
    <w:rsid w:val="00D06595"/>
    <w:rsid w:val="00D25E1A"/>
    <w:rsid w:val="00D33DBE"/>
    <w:rsid w:val="00D365ED"/>
    <w:rsid w:val="00D42340"/>
    <w:rsid w:val="00D87E48"/>
    <w:rsid w:val="00D911EB"/>
    <w:rsid w:val="00DB30E5"/>
    <w:rsid w:val="00DC15B5"/>
    <w:rsid w:val="00DC757E"/>
    <w:rsid w:val="00DE5B04"/>
    <w:rsid w:val="00DF01CA"/>
    <w:rsid w:val="00DF1873"/>
    <w:rsid w:val="00DF48FD"/>
    <w:rsid w:val="00DF514E"/>
    <w:rsid w:val="00E00980"/>
    <w:rsid w:val="00E0796D"/>
    <w:rsid w:val="00E20DB4"/>
    <w:rsid w:val="00E2117A"/>
    <w:rsid w:val="00E31547"/>
    <w:rsid w:val="00E35FD6"/>
    <w:rsid w:val="00E50203"/>
    <w:rsid w:val="00E56423"/>
    <w:rsid w:val="00E61EC5"/>
    <w:rsid w:val="00E66A69"/>
    <w:rsid w:val="00E7734E"/>
    <w:rsid w:val="00E81991"/>
    <w:rsid w:val="00E90D44"/>
    <w:rsid w:val="00ED1DD7"/>
    <w:rsid w:val="00F003FA"/>
    <w:rsid w:val="00F076AA"/>
    <w:rsid w:val="00F1201D"/>
    <w:rsid w:val="00F13684"/>
    <w:rsid w:val="00F20DA4"/>
    <w:rsid w:val="00F22E0C"/>
    <w:rsid w:val="00F27207"/>
    <w:rsid w:val="00F3400C"/>
    <w:rsid w:val="00F418EE"/>
    <w:rsid w:val="00F43BBF"/>
    <w:rsid w:val="00F5565A"/>
    <w:rsid w:val="00F82B12"/>
    <w:rsid w:val="00FA7F82"/>
    <w:rsid w:val="00FB07C2"/>
    <w:rsid w:val="00FC0521"/>
    <w:rsid w:val="00FE7D5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6A583"/>
  <w15:chartTrackingRefBased/>
  <w15:docId w15:val="{7784BE25-9785-4715-A011-27423E4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85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FDB"/>
  </w:style>
  <w:style w:type="paragraph" w:styleId="Piedepgina">
    <w:name w:val="footer"/>
    <w:basedOn w:val="Normal"/>
    <w:link w:val="Piedepgina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FDB"/>
  </w:style>
  <w:style w:type="paragraph" w:styleId="Textodeglobo">
    <w:name w:val="Balloon Text"/>
    <w:basedOn w:val="Normal"/>
    <w:link w:val="TextodegloboCar"/>
    <w:uiPriority w:val="99"/>
    <w:semiHidden/>
    <w:unhideWhenUsed/>
    <w:rsid w:val="0093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B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42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4239"/>
  </w:style>
  <w:style w:type="paragraph" w:styleId="Prrafodelista">
    <w:name w:val="List Paragraph"/>
    <w:basedOn w:val="Normal"/>
    <w:uiPriority w:val="34"/>
    <w:qFormat/>
    <w:rsid w:val="000609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75B7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C485F"/>
    <w:rPr>
      <w:rFonts w:ascii="Arial" w:eastAsia="Arial" w:hAnsi="Arial" w:cs="Arial"/>
      <w:sz w:val="40"/>
      <w:szCs w:val="4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camara.gov.co" TargetMode="External"/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A3E0-3E20-41C6-ABB3-1FA7C08B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2155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Cortes Castillo</dc:creator>
  <cp:keywords/>
  <dc:description/>
  <cp:lastModifiedBy>Dora Sonia Cortes Castillo</cp:lastModifiedBy>
  <cp:revision>11</cp:revision>
  <cp:lastPrinted>2025-02-20T16:54:00Z</cp:lastPrinted>
  <dcterms:created xsi:type="dcterms:W3CDTF">2025-02-27T15:32:00Z</dcterms:created>
  <dcterms:modified xsi:type="dcterms:W3CDTF">2025-03-12T21:26:00Z</dcterms:modified>
</cp:coreProperties>
</file>